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4078" w:right="4197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FIŞA DISCIPLINEI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1. Date despre program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0.0" w:type="dxa"/>
        <w:jc w:val="left"/>
        <w:tblInd w:w="5.0" w:type="dxa"/>
        <w:tblLayout w:type="fixed"/>
        <w:tblLook w:val="0400"/>
      </w:tblPr>
      <w:tblGrid>
        <w:gridCol w:w="3795"/>
        <w:gridCol w:w="6435"/>
        <w:tblGridChange w:id="0">
          <w:tblGrid>
            <w:gridCol w:w="3795"/>
            <w:gridCol w:w="6435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1.1. Instituţia de învăţământ superior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Universitatea Creștină Partium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1.2. Facultatea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Facultatea de Litere și Arte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1.3. Departamentul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Departamentul de Limbă și Literatură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1.4. Domeniul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Limbă și literatură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1.5. Ciclul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Masterat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1.6. Programul de studii/Calificarea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Traducere și interpretariat</w:t>
            </w:r>
          </w:p>
        </w:tc>
      </w:tr>
    </w:tbl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2. Date despre disciplină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3.0" w:type="dxa"/>
        <w:jc w:val="left"/>
        <w:tblInd w:w="108.0" w:type="dxa"/>
        <w:tblLayout w:type="fixed"/>
        <w:tblLook w:val="0400"/>
      </w:tblPr>
      <w:tblGrid>
        <w:gridCol w:w="3518"/>
        <w:gridCol w:w="6715"/>
        <w:tblGridChange w:id="0">
          <w:tblGrid>
            <w:gridCol w:w="3518"/>
            <w:gridCol w:w="6715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2.1. Denumirea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Interpretare simultană (MA-GE)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2.2. Titularul activităţii de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2.3. Titularul activităţii de 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2.4. Anul de studiu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II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2.5. Semestrul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2.6. Tipul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Examen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2.7. Regimul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Disciplină opțională</w:t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3. Timpul total estimat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33.0" w:type="dxa"/>
        <w:jc w:val="left"/>
        <w:tblInd w:w="108.0" w:type="dxa"/>
        <w:tblLayout w:type="fixed"/>
        <w:tblLook w:val="0400"/>
      </w:tblPr>
      <w:tblGrid>
        <w:gridCol w:w="3937"/>
        <w:gridCol w:w="708"/>
        <w:gridCol w:w="1844"/>
        <w:gridCol w:w="710"/>
        <w:gridCol w:w="2273"/>
        <w:gridCol w:w="761"/>
        <w:tblGridChange w:id="0">
          <w:tblGrid>
            <w:gridCol w:w="3937"/>
            <w:gridCol w:w="708"/>
            <w:gridCol w:w="1844"/>
            <w:gridCol w:w="710"/>
            <w:gridCol w:w="2273"/>
            <w:gridCol w:w="761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3.1. Număr de ore pe săptămână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34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din care3.2.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35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3.3.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3.4. Total ore din planul de învăţământ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28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din care3.5.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29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3.6.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Distribuţia fondului de timp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23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Studiul după manual, suport de curs, bibliografie şi notiţe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Documentare suplimentară în bibliotecă, pe platforme electronice de specialitate şi pe teren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Pregătire seminarii/laboratoare, teme, referate, portofolii şi eseuri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Tutoriat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Examinări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Alte activităţi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3.7. Total ore studiu individual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47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3.8. Total ore pe semestru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left="20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75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3.9. Numărul de credite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4. Precondiţii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(acolo unde este cazul)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33.0" w:type="dxa"/>
        <w:jc w:val="left"/>
        <w:tblInd w:w="108.0" w:type="dxa"/>
        <w:tblLayout w:type="fixed"/>
        <w:tblLook w:val="0400"/>
      </w:tblPr>
      <w:tblGrid>
        <w:gridCol w:w="2093"/>
        <w:gridCol w:w="8140"/>
        <w:tblGridChange w:id="0">
          <w:tblGrid>
            <w:gridCol w:w="2093"/>
            <w:gridCol w:w="8140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4.1. de curriculum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left="5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Cunoștințe de bază în domeniul traducerii, dobândite pe parcursul studiilor BA.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4.2. de competenţe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5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Cunoaşterea limbii germane la nivel avansat</w:t>
            </w:r>
          </w:p>
        </w:tc>
      </w:tr>
    </w:tbl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Condiţii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(acolo unde este cazul)</w:t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33.0" w:type="dxa"/>
        <w:jc w:val="left"/>
        <w:tblInd w:w="108.0" w:type="dxa"/>
        <w:tblLayout w:type="fixed"/>
        <w:tblLook w:val="0400"/>
      </w:tblPr>
      <w:tblGrid>
        <w:gridCol w:w="4928"/>
        <w:gridCol w:w="5305"/>
        <w:tblGridChange w:id="0">
          <w:tblGrid>
            <w:gridCol w:w="4928"/>
            <w:gridCol w:w="5305"/>
          </w:tblGrid>
        </w:tblGridChange>
      </w:tblGrid>
      <w:tr>
        <w:trPr>
          <w:cantSplit w:val="0"/>
          <w:trHeight w:val="9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5.1. de desfăşurare a cursului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Sală de curs, dotată cu laptop, videoproiector, legătură la Internet, software adecvat,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instalație pentru interpretare simultană, căști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5.2. de desfăşurare a seminarului/laboratorului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Sală de seminar, dotată cu laptop, videoproiector,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legătură la Internet, software adecvat, instalație pentru interpretare simultană, căști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</w:rPr>
        <w:sectPr>
          <w:pgSz w:h="16860" w:w="11920" w:orient="portrait"/>
          <w:pgMar w:bottom="280" w:top="1140" w:left="800" w:right="64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6. Competenţe specifice acumulate</w:t>
      </w:r>
      <w:r w:rsidDel="00000000" w:rsidR="00000000" w:rsidRPr="00000000">
        <w:rPr>
          <w:rtl w:val="0"/>
        </w:rPr>
      </w:r>
    </w:p>
    <w:tbl>
      <w:tblPr>
        <w:tblStyle w:val="Table6"/>
        <w:tblW w:w="10233.0" w:type="dxa"/>
        <w:jc w:val="left"/>
        <w:tblInd w:w="108.0" w:type="dxa"/>
        <w:tblLayout w:type="fixed"/>
        <w:tblLook w:val="0400"/>
      </w:tblPr>
      <w:tblGrid>
        <w:gridCol w:w="1527"/>
        <w:gridCol w:w="8706"/>
        <w:tblGridChange w:id="0">
          <w:tblGrid>
            <w:gridCol w:w="1527"/>
            <w:gridCol w:w="8706"/>
          </w:tblGrid>
        </w:tblGridChange>
      </w:tblGrid>
      <w:tr>
        <w:trPr>
          <w:cantSplit w:val="0"/>
          <w:trHeight w:val="25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profesionale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widowControl w:val="1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CP1: Utilizarea adecvată a tehnicilor de mediere orală din limba A (maghiară) în limba B (germană) în domenii de interes larg şi semi-specializat</w:t>
            </w:r>
          </w:p>
          <w:p w:rsidR="00000000" w:rsidDel="00000000" w:rsidP="00000000" w:rsidRDefault="00000000" w:rsidRPr="00000000" w14:paraId="00000080">
            <w:pPr>
              <w:widowControl w:val="1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CP2: Dezvoltarea capacităţii de memorare, comprimare si redare a  informatiei din limba germană</w:t>
            </w:r>
          </w:p>
          <w:p w:rsidR="00000000" w:rsidDel="00000000" w:rsidP="00000000" w:rsidRDefault="00000000" w:rsidRPr="00000000" w14:paraId="00000081">
            <w:pPr>
              <w:widowControl w:val="1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CP3: Dezvoltarea capacităţii de aplicare a unor principii şi metode pentru realizarea unei interpretări corecte, adecvate domeniului, în timp real</w:t>
            </w:r>
          </w:p>
          <w:p w:rsidR="00000000" w:rsidDel="00000000" w:rsidP="00000000" w:rsidRDefault="00000000" w:rsidRPr="00000000" w14:paraId="00000082">
            <w:pPr>
              <w:widowControl w:val="1"/>
              <w:tabs>
                <w:tab w:val="left" w:leader="none" w:pos="709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CP4: Evaluarea critică a corectitudinii şi adecvării unei secvenţe de discurs interpretat de dificultate medie</w:t>
            </w:r>
          </w:p>
          <w:p w:rsidR="00000000" w:rsidDel="00000000" w:rsidP="00000000" w:rsidRDefault="00000000" w:rsidRPr="00000000" w14:paraId="00000083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CP5: Dezvoltarea capacităţii de efectuare a unei munci metodice şi riguroase de documentare lexicologică şi terminologică</w:t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transversale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-1" w:right="13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CT1: Gestionarea optimă a sarcinilor profesionale referitoare la medierea orală şi deprinderea executării lor la termen, în mod riguros, eficient şi responsabil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ind w:left="-1" w:right="13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CT2: Comunicare în situaţii profesionale multilingve de integrare, Negociere și mediere lingvistică și culturală în limbile A, B</w:t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ind w:left="-1" w:right="13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CT3: Respectarea normelor de etică specifice domeniului (ex.: confidențialitate)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7. Obiectivele disciplinei 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(reieşind din grila competenţelor specifice acumulate)</w:t>
      </w:r>
      <w:r w:rsidDel="00000000" w:rsidR="00000000" w:rsidRPr="00000000">
        <w:rPr>
          <w:rtl w:val="0"/>
        </w:rPr>
      </w:r>
    </w:p>
    <w:tbl>
      <w:tblPr>
        <w:tblStyle w:val="Table7"/>
        <w:tblW w:w="10234.0" w:type="dxa"/>
        <w:jc w:val="left"/>
        <w:tblInd w:w="108.0" w:type="dxa"/>
        <w:tblLayout w:type="fixed"/>
        <w:tblLook w:val="0400"/>
      </w:tblPr>
      <w:tblGrid>
        <w:gridCol w:w="2660"/>
        <w:gridCol w:w="7574"/>
        <w:tblGridChange w:id="0">
          <w:tblGrid>
            <w:gridCol w:w="2660"/>
            <w:gridCol w:w="7574"/>
          </w:tblGrid>
        </w:tblGridChange>
      </w:tblGrid>
      <w:tr>
        <w:trPr>
          <w:cantSplit w:val="0"/>
          <w:trHeight w:val="16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7.1. Obiectivul general al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Definirea, descrierea și explicarea unor concepte care stau la baza interpretării.</w:t>
            </w:r>
          </w:p>
          <w:p w:rsidR="00000000" w:rsidDel="00000000" w:rsidP="00000000" w:rsidRDefault="00000000" w:rsidRPr="00000000" w14:paraId="0000008F">
            <w:pPr>
              <w:widowControl w:val="1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Dezvoltarea capacităţii de comunicare eficace cu participanţii la comunicarea mediată (interpretare)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Aplicarea principiilor şi eticii profesiunii de interpret</w:t>
            </w:r>
          </w:p>
        </w:tc>
      </w:tr>
      <w:tr>
        <w:trPr>
          <w:cantSplit w:val="0"/>
          <w:trHeight w:val="28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7.2. Obiectivele specifice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widowControl w:val="1"/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Dezvoltarea capacităţii de înţelegere a mesajelor orale în limba B (germană)</w:t>
            </w:r>
          </w:p>
          <w:p w:rsidR="00000000" w:rsidDel="00000000" w:rsidP="00000000" w:rsidRDefault="00000000" w:rsidRPr="00000000" w14:paraId="00000093">
            <w:pPr>
              <w:widowControl w:val="1"/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Formarea si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dezvoltarea deprinderilor specifice de redare a mesajelor orale din limba germană în limba maghiară conform cerinţelor situaţiei de comunicare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71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Dezvoltarea competenţei de informare şi documentare terminologică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65"/>
              </w:tabs>
              <w:spacing w:after="0" w:before="0" w:line="246.99999999999994" w:lineRule="auto"/>
              <w:ind w:left="720" w:right="12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Însușirea competențelor necesare pentru a deveni interpret: traducere simultană la cască, interpretare  în  fața  autorităților  publice,  de  urmărire penală și jurisdicțională, interpretariat la conferințe internaționale</w:t>
            </w:r>
          </w:p>
        </w:tc>
      </w:tr>
    </w:tbl>
    <w:p w:rsidR="00000000" w:rsidDel="00000000" w:rsidP="00000000" w:rsidRDefault="00000000" w:rsidRPr="00000000" w14:paraId="00000096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Conţinuturi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77.0" w:type="dxa"/>
        <w:jc w:val="left"/>
        <w:tblInd w:w="108.0" w:type="dxa"/>
        <w:tblLayout w:type="fixed"/>
        <w:tblLook w:val="0400"/>
      </w:tblPr>
      <w:tblGrid>
        <w:gridCol w:w="6985"/>
        <w:gridCol w:w="1843"/>
        <w:gridCol w:w="1249"/>
        <w:tblGridChange w:id="0">
          <w:tblGrid>
            <w:gridCol w:w="6985"/>
            <w:gridCol w:w="1843"/>
            <w:gridCol w:w="1249"/>
          </w:tblGrid>
        </w:tblGridChange>
      </w:tblGrid>
      <w:tr>
        <w:trPr>
          <w:cantSplit w:val="0"/>
          <w:trHeight w:val="8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Exerciţii de respiraţie, de control al stresului de citire rapidă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7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Exerciţii de reformulare în şi din limbile maghiară şi germană (lexic şi registru de limbă - evenimente sociale)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Exerciţii de documentare în vederea interpretării simultane (elaborarea de dosare terminologice - politică)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Exerciţii de documentare în vederea interpretării simultane (elaborarea de dosare terminologice - cultură)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Exerciţii de documentare în vederea interpretării simultane (elaborarea de dosare terminologice - economie)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Exerciţii de documentare în vederea interpretării simultane (elaborarea de dosare terminologice - media)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Exerciţii de documentare în vederea interpretării simultane (elaborarea de dosare terminologice - politică)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Exerciții de identificare a situațiilor de interpretare simultană (conferințe, mese rotunde,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Exerciții de interpretare simultană și evaluare a prestațiilor interpretative (materiale audio-vizuale)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-1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lucru individual/în echipă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7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8.2. Seminar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105" w:right="-7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102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7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Excerciţii de înţelege a textelor orale în limba maghiară și germană (limbile sursă și țintă)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7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bazate pe situaţii de interpretare luate din viaţa de zi cu zi.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7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(HU-GE). Turism.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437" w:right="-2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(HU-GE). Business.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437" w:right="-2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(HU-GE). Media&amp;Advertising.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437" w:right="-2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(HU-GE). Discursuri politice.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5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437" w:right="-2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Exerciţii cu căști. Interpretarea textelor orale (HU-GE). Discursuri juridice.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1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Discuții, exerciții, muncă în grup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C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240" w:lineRule="auto"/>
        <w:ind w:left="-1" w:right="-20" w:firstLine="0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BIBLIOGRAFIE</w:t>
      </w:r>
    </w:p>
    <w:p w:rsidR="00000000" w:rsidDel="00000000" w:rsidP="00000000" w:rsidRDefault="00000000" w:rsidRPr="00000000" w14:paraId="000000CE">
      <w:pPr>
        <w:spacing w:after="0" w:line="240" w:lineRule="auto"/>
        <w:ind w:left="-1" w:right="-20" w:firstLine="0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Kußmaul, Paul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(2010):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Verstehen und Übersetzen : ein Lehr- und Arbeitsbuch.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3. Aufl., Tübingen: Narr.</w:t>
      </w:r>
    </w:p>
    <w:p w:rsidR="00000000" w:rsidDel="00000000" w:rsidP="00000000" w:rsidRDefault="00000000" w:rsidRPr="00000000" w14:paraId="000000D0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Kautz, Ulrich (2002):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Handbuch Didaktik des Übersetzens und Dolmetschens.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München: Iudicium.</w:t>
      </w:r>
    </w:p>
    <w:p w:rsidR="00000000" w:rsidDel="00000000" w:rsidP="00000000" w:rsidRDefault="00000000" w:rsidRPr="00000000" w14:paraId="000000D1">
      <w:pPr>
        <w:numPr>
          <w:ilvl w:val="0"/>
          <w:numId w:val="2"/>
        </w:numPr>
        <w:spacing w:after="0" w:line="240" w:lineRule="auto"/>
        <w:ind w:left="720" w:right="783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Snell-Hornby, Mary, et. al.(Eds.) (2003)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Handbuch Translation,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Stauffenburg, Tübingen.</w:t>
      </w:r>
    </w:p>
    <w:p w:rsidR="00000000" w:rsidDel="00000000" w:rsidP="00000000" w:rsidRDefault="00000000" w:rsidRPr="00000000" w14:paraId="000000D2">
      <w:pPr>
        <w:numPr>
          <w:ilvl w:val="0"/>
          <w:numId w:val="2"/>
        </w:numPr>
        <w:spacing w:after="0" w:line="240" w:lineRule="auto"/>
        <w:ind w:left="720" w:right="56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Friedrich, Wolf (2007): Technik des Übersetzens: Eine systematische Anleitung für das Übersetzen ins Englische und ins Deutsche für Unterricht und Selbststudium. Englisch/Deutsch. 4. Auflage. Ismaning: Max Hueber Verlag.</w:t>
      </w:r>
    </w:p>
    <w:p w:rsidR="00000000" w:rsidDel="00000000" w:rsidP="00000000" w:rsidRDefault="00000000" w:rsidRPr="00000000" w14:paraId="000000D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widowControl w:val="1"/>
        <w:spacing w:after="0" w:line="240" w:lineRule="auto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Periodice:</w:t>
      </w:r>
    </w:p>
    <w:p w:rsidR="00000000" w:rsidDel="00000000" w:rsidP="00000000" w:rsidRDefault="00000000" w:rsidRPr="00000000" w14:paraId="000000D5">
      <w:pPr>
        <w:widowControl w:val="1"/>
        <w:spacing w:after="0" w:line="240" w:lineRule="auto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widowControl w:val="1"/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i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Fordítástudomány.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0563c1"/>
            <w:sz w:val="23"/>
            <w:szCs w:val="23"/>
            <w:u w:val="single"/>
            <w:rtl w:val="0"/>
          </w:rPr>
          <w:t xml:space="preserve">http://www.elteftt.hu/hu/forditastudomany-tartalomjegyzek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  sau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0563c1"/>
            <w:sz w:val="23"/>
            <w:szCs w:val="23"/>
            <w:u w:val="single"/>
            <w:rtl w:val="0"/>
          </w:rPr>
          <w:t xml:space="preserve">http://alknyelvport.nytud.hu/kiadvanyok/forditastudomany/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0D7">
      <w:pPr>
        <w:widowControl w:val="1"/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i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Translation Journal.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0563c1"/>
            <w:sz w:val="23"/>
            <w:szCs w:val="23"/>
            <w:u w:val="single"/>
            <w:rtl w:val="0"/>
          </w:rPr>
          <w:t xml:space="preserve">https://www.translationjournal.net/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0D8">
      <w:pPr>
        <w:spacing w:after="0" w:line="240" w:lineRule="auto"/>
        <w:ind w:left="119" w:right="234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0" w:line="240" w:lineRule="auto"/>
        <w:ind w:left="119" w:right="234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Coroborarea conţinuturilor disciplinei cu aşteptările reprezentanţilor comunităţii epistemice, asociaţilor profesionale şi angajatori reprezentativi din domeniul aferent programului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64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64"/>
        <w:tblGridChange w:id="0">
          <w:tblGrid>
            <w:gridCol w:w="100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Conţinutul disciplinei este în concordanţă cu ceea ce se practică în alte centre universitare din țară și din străinătate. Pentru o mai bună adaptare la cerinţele pieţei muncii a conţinutului  disciplinei s-au organizat discuții și întâlniri atât cu profesori de limbă și literatură germană din regiune, cât si cu reprezentanţii angajatorilor din mediul socio-cultural și de afaceri.</w:t>
            </w:r>
          </w:p>
        </w:tc>
      </w:tr>
    </w:tbl>
    <w:p w:rsidR="00000000" w:rsidDel="00000000" w:rsidP="00000000" w:rsidRDefault="00000000" w:rsidRPr="00000000" w14:paraId="000000D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Evaluare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192.0" w:type="dxa"/>
        <w:jc w:val="left"/>
        <w:tblInd w:w="108.0" w:type="dxa"/>
        <w:tblLayout w:type="fixed"/>
        <w:tblLook w:val="0400"/>
      </w:tblPr>
      <w:tblGrid>
        <w:gridCol w:w="2518"/>
        <w:gridCol w:w="2410"/>
        <w:gridCol w:w="2717"/>
        <w:gridCol w:w="2547"/>
        <w:tblGridChange w:id="0">
          <w:tblGrid>
            <w:gridCol w:w="2518"/>
            <w:gridCol w:w="2410"/>
            <w:gridCol w:w="2717"/>
            <w:gridCol w:w="2547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 activitate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10.1. Criterii de</w:t>
            </w:r>
          </w:p>
          <w:p w:rsidR="00000000" w:rsidDel="00000000" w:rsidP="00000000" w:rsidRDefault="00000000" w:rsidRPr="00000000" w14:paraId="000000E1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10.2. Metode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10.3. Pondere din nota</w:t>
            </w:r>
          </w:p>
          <w:p w:rsidR="00000000" w:rsidDel="00000000" w:rsidP="00000000" w:rsidRDefault="00000000" w:rsidRPr="00000000" w14:paraId="000000E4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finală</w:t>
            </w:r>
          </w:p>
        </w:tc>
      </w:tr>
      <w:tr>
        <w:trPr>
          <w:cantSplit w:val="0"/>
          <w:trHeight w:val="34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10.4.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530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corectitudinea si completitudinea</w:t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ind w:left="23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cunoștinţelor;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585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coerenţa logică;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101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gradul de asimilare a limbajului de specialitate;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88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criterii ce vizează aspectele atitudinale: conștiinciozitatea,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-40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interesul pentru studiu 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ind w:left="1062" w:right="9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50%</w:t>
            </w:r>
          </w:p>
        </w:tc>
      </w:tr>
      <w:tr>
        <w:trPr>
          <w:cantSplit w:val="0"/>
          <w:trHeight w:val="28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10.5. 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-20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capacitatea de a opera cu cunoștinţele asimilate;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capacitatea de </w:t>
            </w:r>
          </w:p>
          <w:p w:rsidR="00000000" w:rsidDel="00000000" w:rsidP="00000000" w:rsidRDefault="00000000" w:rsidRPr="00000000" w14:paraId="000000FD">
            <w:pPr>
              <w:spacing w:after="0" w:line="240" w:lineRule="auto"/>
              <w:ind w:left="25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aplicare în practică;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9" w:right="88" w:hanging="2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criterii ce vizează aspectele atitudinale: conștiinciozitatea, interesul pentru studiu 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ind w:left="3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Simularea unei prestaţii interpretative. Traducerea simultană a unui text (pregătit respectiv prima vista)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spacing w:after="0" w:line="240" w:lineRule="auto"/>
              <w:ind w:right="919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50%</w:t>
            </w:r>
          </w:p>
        </w:tc>
      </w:tr>
      <w:tr>
        <w:trPr>
          <w:cantSplit w:val="0"/>
          <w:trHeight w:val="332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10.6. Standard minim de performanţă: </w:t>
            </w:r>
          </w:p>
          <w:p w:rsidR="00000000" w:rsidDel="00000000" w:rsidP="00000000" w:rsidRDefault="00000000" w:rsidRPr="00000000" w14:paraId="0000010B">
            <w:pPr>
              <w:spacing w:after="0" w:line="240" w:lineRule="auto"/>
              <w:ind w:left="102" w:right="-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Înţelegerea teoriilor şi modelelor lingvistice pentru a le aplica şi adapta în practică, folosirea adecvată a terminologiei, aplicarea cunoștințelor teoretice pe parcursul traducerii, capacitatea de a înţelege şi traduce texte din limba sursă şi formarea deprinderilor şi tehnicilor de traducere. Redarea orală a unui discurs scris sau oral din limba sursă în limba ţintă; utilizarea limbilor germană şi maghiară spontan şi fluent într-o discuţie pe o anumită temă, adaptată contextului şi domeniilor profesionale vizate</w:t>
            </w:r>
          </w:p>
          <w:p w:rsidR="00000000" w:rsidDel="00000000" w:rsidP="00000000" w:rsidRDefault="00000000" w:rsidRPr="00000000" w14:paraId="0000010C">
            <w:pPr>
              <w:spacing w:after="0" w:line="240" w:lineRule="auto"/>
              <w:ind w:left="102" w:right="-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after="0" w:line="240" w:lineRule="auto"/>
              <w:ind w:left="102" w:right="-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Participarea la min. 70% din numărul total de cursuri, respectiv seminarii. Nerespectarea prezenței minime obligatorii se sancționează cu diminuarea notei finale cu 1 punct/absență pentru fiecare absență nemotivată peste limita admisă. </w:t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19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9"/>
        <w:gridCol w:w="3903"/>
        <w:gridCol w:w="3776"/>
        <w:tblGridChange w:id="0">
          <w:tblGrid>
            <w:gridCol w:w="2519"/>
            <w:gridCol w:w="3903"/>
            <w:gridCol w:w="3776"/>
          </w:tblGrid>
        </w:tblGridChange>
      </w:tblGrid>
      <w:tr>
        <w:trPr>
          <w:cantSplit w:val="0"/>
          <w:trHeight w:val="10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completării</w:t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de curs</w:t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de seminar</w:t>
            </w:r>
          </w:p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avizării în departament</w:t>
            </w:r>
          </w:p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directorului de departament: </w:t>
            </w:r>
          </w:p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Lect. Univ. dr. Antal-Fórizs Ioan James</w:t>
            </w:r>
          </w:p>
        </w:tc>
      </w:tr>
    </w:tbl>
    <w:p w:rsidR="00000000" w:rsidDel="00000000" w:rsidP="00000000" w:rsidRDefault="00000000" w:rsidRPr="00000000" w14:paraId="000001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nextPage"/>
      <w:pgSz w:h="16860" w:w="11920" w:orient="portrait"/>
      <w:pgMar w:bottom="280" w:top="1040" w:left="800" w:right="6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0"/>
      <w:numFmt w:val="bullet"/>
      <w:lvlText w:val="–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19" w:hanging="359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</w:pPr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nhideWhenUsed w:val="1"/>
    <w:qFormat w:val="1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 w:val="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1"/>
    <w:qFormat w:val="1"/>
    <w:pPr>
      <w:ind w:left="720"/>
      <w:contextualSpacing w:val="1"/>
    </w:pPr>
  </w:style>
  <w:style w:type="paragraph" w:styleId="Norml1" w:customStyle="1">
    <w:name w:val="Normál1"/>
    <w:qFormat w:val="1"/>
    <w:pPr>
      <w:widowControl w:val="0"/>
      <w:spacing w:after="0" w:line="240" w:lineRule="auto"/>
    </w:pPr>
    <w:rPr>
      <w:rFonts w:ascii="Times New Roman" w:cs="Times New Roman" w:eastAsia="Times New Roman" w:hAnsi="Times New Roman"/>
      <w:lang w:eastAsia="hu-HU" w:val="hu-HU"/>
    </w:rPr>
  </w:style>
  <w:style w:type="paragraph" w:styleId="TableParagraph" w:customStyle="1">
    <w:name w:val="Table Paragraph"/>
    <w:basedOn w:val="Normal"/>
    <w:uiPriority w:val="1"/>
    <w:qFormat w:val="1"/>
    <w:pPr>
      <w:spacing w:after="0" w:line="240" w:lineRule="auto"/>
    </w:pPr>
  </w:style>
  <w:style w:type="paragraph" w:styleId="Default" w:customStyle="1">
    <w:name w:val="Default"/>
    <w:qFormat w:val="1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translationjournal.net/" TargetMode="External"/><Relationship Id="rId9" Type="http://schemas.openxmlformats.org/officeDocument/2006/relationships/hyperlink" Target="http://alknyelvport.nytud.hu/kiadvanyok/forditastudomany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qulto.partium.ro/monguz2/index.jsp?from_page=details&amp;page=details&amp;dbname=database&amp;bib1id=1&amp;bib1field=0&amp;term=Ku%C3%9Fmaul+Paul%7C110439%7C16" TargetMode="External"/><Relationship Id="rId8" Type="http://schemas.openxmlformats.org/officeDocument/2006/relationships/hyperlink" Target="http://www.elteftt.hu/hu/forditastudomany-tartalomjegyze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mvK0+VqfbOd6wmo11ACc/rliqA==">CgMxLjAyCGguZ2pkZ3hzOAByITFTZWVLdVJqcVZPX0g0WHBNYmRlTHhIZmJqRmJzRUw1cw==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2019-01-18T21:35:00Z</dcterms:created>
  <dc:creator>DPlaptop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